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F" w:rsidRDefault="00007F13" w:rsidP="00C90C22">
      <w:pPr>
        <w:jc w:val="center"/>
      </w:pPr>
      <w:r w:rsidRPr="00007F13">
        <w:rPr>
          <w:noProof/>
        </w:rPr>
        <w:drawing>
          <wp:inline distT="0" distB="0" distL="0" distR="0">
            <wp:extent cx="1743075" cy="1000125"/>
            <wp:effectExtent l="19050" t="0" r="9525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 l="29752" t="34581" r="28430" b="2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DF" w:rsidRDefault="00E100DF" w:rsidP="00C90C22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4B0A13" w:rsidRDefault="004B0A13" w:rsidP="004B0A13">
      <w:pPr>
        <w:spacing w:before="240" w:line="252" w:lineRule="auto"/>
        <w:ind w:left="142"/>
        <w:jc w:val="center"/>
        <w:rPr>
          <w:rStyle w:val="dn"/>
          <w:rFonts w:ascii="Arial" w:eastAsia="Arial" w:hAnsi="Arial" w:cs="Arial"/>
          <w:b/>
          <w:bCs/>
          <w:sz w:val="32"/>
          <w:szCs w:val="32"/>
        </w:rPr>
      </w:pPr>
      <w:r>
        <w:rPr>
          <w:rStyle w:val="dn"/>
          <w:rFonts w:ascii="Arial" w:hAnsi="Arial"/>
          <w:b/>
          <w:bCs/>
          <w:sz w:val="32"/>
          <w:szCs w:val="32"/>
        </w:rPr>
        <w:t xml:space="preserve">Tisková zpráva </w:t>
      </w:r>
    </w:p>
    <w:p w:rsidR="004B0A13" w:rsidRDefault="004B0A13" w:rsidP="004B0A13">
      <w:pPr>
        <w:spacing w:before="240" w:line="252" w:lineRule="auto"/>
        <w:ind w:left="142"/>
        <w:jc w:val="center"/>
        <w:rPr>
          <w:rStyle w:val="dn"/>
          <w:rFonts w:ascii="Arial" w:eastAsia="Arial" w:hAnsi="Arial" w:cs="Arial"/>
          <w:b/>
          <w:bCs/>
          <w:sz w:val="32"/>
          <w:szCs w:val="32"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„Moravské dopravní fórum“ - Změna legislativy je klíčem k urychlení </w:t>
      </w:r>
      <w:proofErr w:type="gramStart"/>
      <w:r>
        <w:rPr>
          <w:rStyle w:val="dn"/>
          <w:rFonts w:ascii="Arial" w:hAnsi="Arial"/>
          <w:b/>
          <w:bCs/>
        </w:rPr>
        <w:t>přípravy  strategických</w:t>
      </w:r>
      <w:proofErr w:type="gramEnd"/>
      <w:r>
        <w:rPr>
          <w:rStyle w:val="dn"/>
          <w:rFonts w:ascii="Arial" w:hAnsi="Arial"/>
          <w:b/>
          <w:bCs/>
        </w:rPr>
        <w:t xml:space="preserve"> projektů v dopravní infrastruktuře. </w:t>
      </w: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b/>
          <w:bCs/>
        </w:rPr>
      </w:pPr>
    </w:p>
    <w:p w:rsidR="004B0A13" w:rsidRDefault="004B0A13" w:rsidP="004B0A13">
      <w:pPr>
        <w:spacing w:before="120" w:after="120" w:line="252" w:lineRule="auto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</w:rPr>
        <w:t xml:space="preserve">Odborného dopravního setkání v Olomouci, se dne 9. dubna 2018 zúčastnili poslanci, senátoři, vrcholní představitelé Zlínského a Olomouckého kraje, představitelé Ministerstva dopravy, Ministerstva životního prostředí, Ministerstva pro místní </w:t>
      </w:r>
      <w:proofErr w:type="gramStart"/>
      <w:r>
        <w:rPr>
          <w:rStyle w:val="dn"/>
          <w:rFonts w:ascii="Arial" w:hAnsi="Arial"/>
        </w:rPr>
        <w:t>rozvoj , Ředitelství</w:t>
      </w:r>
      <w:proofErr w:type="gramEnd"/>
      <w:r>
        <w:rPr>
          <w:rStyle w:val="dn"/>
          <w:rFonts w:ascii="Arial" w:hAnsi="Arial"/>
        </w:rPr>
        <w:t xml:space="preserve"> silnic a dálnic , Správy železniční dopravní cesty, členové Sdružení pro rozvoj dopravní infrastruktury na Moravě, zástupci měst a obcí regionu a zástupci hospodářské sféry. Význam konference podtrhl svou účastí předseda poslanecké sněmovny Radek Vondráček.</w:t>
      </w:r>
    </w:p>
    <w:p w:rsidR="004B0A13" w:rsidRDefault="004B0A13" w:rsidP="004B0A13">
      <w:pPr>
        <w:spacing w:after="120"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„Našim cílem bylo především upozornit na pokračující neuspokojivou situaci v přípravě  projektů  dopravní infrastruktury na střední a východní </w:t>
      </w:r>
      <w:proofErr w:type="gramStart"/>
      <w:r>
        <w:rPr>
          <w:rStyle w:val="dn"/>
          <w:rFonts w:ascii="Arial" w:hAnsi="Arial"/>
        </w:rPr>
        <w:t>Moravě“,  jasně</w:t>
      </w:r>
      <w:proofErr w:type="gramEnd"/>
      <w:r>
        <w:rPr>
          <w:rStyle w:val="dn"/>
          <w:rFonts w:ascii="Arial" w:hAnsi="Arial"/>
        </w:rPr>
        <w:t xml:space="preserve"> pojmenovat hlavní příčiny tohoto stavu a společně definovat řešení vedoucí k urychlení realizace nejdůležitějších projektů zdůraznil Libor Lukáš,předseda Sdružení pro rozvoj dopravní infrastruktury na Moravě, které již tradičně pořádá toto odborné jarní setkání. </w:t>
      </w:r>
    </w:p>
    <w:p w:rsidR="004B0A13" w:rsidRDefault="004B0A13" w:rsidP="004B0A13">
      <w:pPr>
        <w:spacing w:after="120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Účastníci setkání konstatovali, že příčinou zpomalení tempa přípravy a realizace projektů dopravní infrastruktury není v současné době její financování, ale především legislativa, která spíše </w:t>
      </w:r>
      <w:proofErr w:type="gramStart"/>
      <w:r>
        <w:rPr>
          <w:rStyle w:val="dn"/>
          <w:rFonts w:ascii="Arial" w:hAnsi="Arial"/>
        </w:rPr>
        <w:t>napomáhá  obstrukcím</w:t>
      </w:r>
      <w:proofErr w:type="gramEnd"/>
      <w:r>
        <w:rPr>
          <w:rStyle w:val="dn"/>
          <w:rFonts w:ascii="Arial" w:hAnsi="Arial"/>
        </w:rPr>
        <w:t xml:space="preserve"> a blokování přípravy těchto projektů nevládními aktivistickými organizacemi. “Také proto jsme iniciovali a předali petičnímu výboru </w:t>
      </w:r>
      <w:proofErr w:type="gramStart"/>
      <w:r>
        <w:rPr>
          <w:rStyle w:val="dn"/>
          <w:rFonts w:ascii="Arial" w:hAnsi="Arial"/>
        </w:rPr>
        <w:t>Senátu  Petici</w:t>
      </w:r>
      <w:proofErr w:type="gramEnd"/>
      <w:r>
        <w:rPr>
          <w:rStyle w:val="dn"/>
          <w:rFonts w:ascii="Arial" w:hAnsi="Arial"/>
        </w:rPr>
        <w:t xml:space="preserve">  za realizaci dálničních staveb D55 a D49, kterou podepsalo bezmála 15 000 občanů.Věřím ,že  i tato petice přispěje ke změně legislativního </w:t>
      </w:r>
      <w:proofErr w:type="gramStart"/>
      <w:r>
        <w:rPr>
          <w:rStyle w:val="dn"/>
          <w:rFonts w:ascii="Arial" w:hAnsi="Arial"/>
        </w:rPr>
        <w:t>prostředí  v ČR</w:t>
      </w:r>
      <w:proofErr w:type="gramEnd"/>
      <w:r>
        <w:rPr>
          <w:rStyle w:val="dn"/>
          <w:rFonts w:ascii="Arial" w:hAnsi="Arial"/>
        </w:rPr>
        <w:t xml:space="preserve"> tak,  aby vůle občanů mohla být naplňována  reálnými skutky a v reálném čase, a  aby  úzké zájmové skupinky  nemohli strategické záměry státu donekonečna blokovat”, dodává Libor Lukáš.</w:t>
      </w: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“Strategický význam urychleného dobudování páteřní sítě dopravní infrastruktury na postavení ČR v mezinárodní ekonomické soutěži a vliv rozvinuté silniční a železniční sítě na zaměstnanost a udržitelný rozvoj jednotlivých regionů”, zdůraznil předseda poslanecké sněmovny Radek Vondráček.</w:t>
      </w: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Ekonomický expert Petr Zahradník upozornil na důraz na efektivnost projektů, která bude po roce 2020 spolu s formou úvěrů </w:t>
      </w:r>
      <w:proofErr w:type="gramStart"/>
      <w:r>
        <w:rPr>
          <w:rStyle w:val="dn"/>
          <w:rFonts w:ascii="Arial" w:hAnsi="Arial"/>
        </w:rPr>
        <w:t>hlavním  kriteriem</w:t>
      </w:r>
      <w:proofErr w:type="gramEnd"/>
      <w:r>
        <w:rPr>
          <w:rStyle w:val="dn"/>
          <w:rFonts w:ascii="Arial" w:hAnsi="Arial"/>
        </w:rPr>
        <w:t xml:space="preserve"> a formou financování dopravní infrastruktury Evropskou komisí. O to více vyniká potřeba v ČR, aby byl vytvořen stabilní a dlouhodobý finanční </w:t>
      </w:r>
      <w:proofErr w:type="gramStart"/>
      <w:r>
        <w:rPr>
          <w:rStyle w:val="dn"/>
          <w:rFonts w:ascii="Arial" w:hAnsi="Arial"/>
        </w:rPr>
        <w:t>rámec,  sloužící</w:t>
      </w:r>
      <w:proofErr w:type="gramEnd"/>
      <w:r>
        <w:rPr>
          <w:rStyle w:val="dn"/>
          <w:rFonts w:ascii="Arial" w:hAnsi="Arial"/>
        </w:rPr>
        <w:t xml:space="preserve"> k rozvoji dopravní infrastruktury.</w:t>
      </w: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Náměstek </w:t>
      </w:r>
      <w:proofErr w:type="gramStart"/>
      <w:r>
        <w:rPr>
          <w:rStyle w:val="dn"/>
          <w:rFonts w:ascii="Arial" w:hAnsi="Arial"/>
        </w:rPr>
        <w:t>ministra  dopravy</w:t>
      </w:r>
      <w:proofErr w:type="gramEnd"/>
      <w:r>
        <w:rPr>
          <w:rStyle w:val="dn"/>
          <w:rFonts w:ascii="Arial" w:hAnsi="Arial"/>
        </w:rPr>
        <w:t xml:space="preserve"> Tomáš Čoček  a náměstkyně ministra pro místní rozvoj Marcela </w:t>
      </w:r>
      <w:proofErr w:type="spellStart"/>
      <w:r>
        <w:rPr>
          <w:rStyle w:val="dn"/>
          <w:rFonts w:ascii="Arial" w:hAnsi="Arial"/>
        </w:rPr>
        <w:t>Pavlová</w:t>
      </w:r>
      <w:proofErr w:type="spellEnd"/>
      <w:r>
        <w:rPr>
          <w:rStyle w:val="dn"/>
          <w:rFonts w:ascii="Arial" w:hAnsi="Arial"/>
        </w:rPr>
        <w:t xml:space="preserve"> vyjádřili přesvědčení, že se společným úsilím podaří  vyřešit zásadní nedostatky stavební legislativy a přispět tím ke zrychlenému čerpání </w:t>
      </w:r>
      <w:r>
        <w:rPr>
          <w:rStyle w:val="dn"/>
          <w:rFonts w:ascii="Arial" w:hAnsi="Arial"/>
        </w:rPr>
        <w:lastRenderedPageBreak/>
        <w:t xml:space="preserve">prostředků  z evropských zdrojů v období 2014 - 2020 včetně prostředků z programu CEF. </w:t>
      </w: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Náměstek hejtmana Olomouckého kraje Jan Zahradníček zdůraznil význam prioritních staveb a kvalitního propojení kraje na páteřní síť pro udržitelný rozvoj regionu a vyjádřil naději, že poslanecká sněmovna přijme novelu zákona o „Urychlení výstavby dopravní infrastruktury“, který by umožnil výrazně urychlit její přípravu.</w:t>
      </w: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Cílem pro nejbližší období je především dokončení dálnice D1 </w:t>
      </w:r>
      <w:proofErr w:type="gramStart"/>
      <w:r>
        <w:rPr>
          <w:rStyle w:val="dn"/>
          <w:rFonts w:ascii="Arial" w:hAnsi="Arial"/>
        </w:rPr>
        <w:t>zahájením  stavby</w:t>
      </w:r>
      <w:proofErr w:type="gramEnd"/>
      <w:r>
        <w:rPr>
          <w:rStyle w:val="dn"/>
          <w:rFonts w:ascii="Arial" w:hAnsi="Arial"/>
        </w:rPr>
        <w:t xml:space="preserve"> 136 </w:t>
      </w:r>
      <w:proofErr w:type="spellStart"/>
      <w:r>
        <w:rPr>
          <w:rStyle w:val="dn"/>
          <w:rFonts w:ascii="Arial" w:hAnsi="Arial"/>
        </w:rPr>
        <w:t>Říkovice</w:t>
      </w:r>
      <w:proofErr w:type="spellEnd"/>
      <w:r>
        <w:rPr>
          <w:rStyle w:val="dn"/>
          <w:rFonts w:ascii="Arial" w:hAnsi="Arial"/>
        </w:rPr>
        <w:t xml:space="preserve"> – Přerov, zahájení realizace rychlostní silnice D49 spojující střední a východní Moravu se sousedními regiony Slovenska, přípravu rychlostní silnice D55 od Olomouce po Přerov a  úsek Otrokovice - Staré Město – Rohatec - Břeclav, alternativní propojení ČR v západovýchodním směru Mohelnice – Hradec Králové rychlostní silnicí D35 a spojení se severem Olomouckého kraje silnicí I/44, urychlit  modernizaci železniční tratě Hranice na Moravě – Vsetín - Horní </w:t>
      </w:r>
      <w:proofErr w:type="spellStart"/>
      <w:r>
        <w:rPr>
          <w:rStyle w:val="dn"/>
          <w:rFonts w:ascii="Arial" w:hAnsi="Arial"/>
        </w:rPr>
        <w:t>Lideč</w:t>
      </w:r>
      <w:proofErr w:type="spellEnd"/>
      <w:r>
        <w:rPr>
          <w:rStyle w:val="dn"/>
          <w:rFonts w:ascii="Arial" w:hAnsi="Arial"/>
        </w:rPr>
        <w:t xml:space="preserve"> - Střelná ,  a  přípravu modernizace železniční tratě Přerov – Brno a </w:t>
      </w:r>
      <w:proofErr w:type="spellStart"/>
      <w:r>
        <w:rPr>
          <w:rStyle w:val="dn"/>
          <w:rFonts w:ascii="Arial" w:hAnsi="Arial"/>
        </w:rPr>
        <w:t>Otrokovice</w:t>
      </w:r>
      <w:proofErr w:type="spellEnd"/>
      <w:r>
        <w:rPr>
          <w:rStyle w:val="dn"/>
          <w:rFonts w:ascii="Arial" w:hAnsi="Arial"/>
        </w:rPr>
        <w:t>-Vizovice.</w:t>
      </w: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Na závěr setkání jeho účastníci přijali</w:t>
      </w:r>
      <w:r>
        <w:rPr>
          <w:rStyle w:val="dn"/>
          <w:rFonts w:ascii="Arial" w:hAnsi="Arial"/>
          <w:b/>
          <w:bCs/>
        </w:rPr>
        <w:t xml:space="preserve"> „Deklaraci</w:t>
      </w:r>
      <w:r>
        <w:rPr>
          <w:rStyle w:val="dn"/>
          <w:rFonts w:ascii="Arial" w:hAnsi="Arial"/>
        </w:rPr>
        <w:t xml:space="preserve">“ zdůrazňující potřebu koncepčního rozvoje dopravní infrastruktury v ČR, jako zásadního předpokladu pro zvýšení konkurenceschopnosti regionu střední a východní Moravy. Přijatá Deklarace bude následně zaslána prezidentovi republiky, předsedovi vlády, ministru dopravy, ministru průmyslu, předsedovi hospodářského výboru PSP ČR, ministru financí a představitelům podvýborů pro dopravu poslanecké sněmovny a senátu. </w:t>
      </w: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“V zájmu zachování kontinuity je v současné době připravován již VIII. ročník mezinárodní konference „Střední Morava-křižovatka dopravních a ekonomických zájmů“, kterou každoročně pořádá rovněž Sdružení pro rozvoj dopravní infrastruktury na Moravě a která proběhne tradičně 20. září 2018 v Luhačovicích“, uzavřel předseda sdružení Libor Lukáš.</w:t>
      </w: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  <w:r>
        <w:rPr>
          <w:rStyle w:val="dn"/>
          <w:rFonts w:ascii="Arial" w:hAnsi="Arial"/>
          <w:i/>
          <w:iCs/>
        </w:rPr>
        <w:t>V Olomouci 9. 4. 2018</w:t>
      </w: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before="120" w:line="252" w:lineRule="auto"/>
        <w:jc w:val="both"/>
        <w:rPr>
          <w:rStyle w:val="dn"/>
          <w:rFonts w:ascii="Arial" w:eastAsia="Arial" w:hAnsi="Arial" w:cs="Arial"/>
          <w:i/>
          <w:iCs/>
        </w:rPr>
      </w:pPr>
    </w:p>
    <w:p w:rsidR="004B0A13" w:rsidRDefault="004B0A13" w:rsidP="004B0A13">
      <w:pPr>
        <w:spacing w:line="252" w:lineRule="auto"/>
        <w:jc w:val="both"/>
        <w:rPr>
          <w:rStyle w:val="dn"/>
          <w:rFonts w:ascii="Arial" w:eastAsia="Arial" w:hAnsi="Arial" w:cs="Arial"/>
        </w:rPr>
      </w:pPr>
    </w:p>
    <w:p w:rsidR="004B0A13" w:rsidRDefault="004B0A13" w:rsidP="004B0A13">
      <w:pPr>
        <w:spacing w:line="252" w:lineRule="auto"/>
        <w:jc w:val="both"/>
      </w:pPr>
      <w:r>
        <w:rPr>
          <w:rStyle w:val="dn"/>
          <w:rFonts w:ascii="Arial" w:hAnsi="Arial"/>
          <w:i/>
          <w:iCs/>
        </w:rPr>
        <w:t>Příloha: „Deklarace MDF 2018“</w:t>
      </w:r>
    </w:p>
    <w:p w:rsidR="004B0A13" w:rsidRPr="00023AEE" w:rsidRDefault="004B0A13" w:rsidP="00C90C22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sectPr w:rsidR="004B0A13" w:rsidRPr="00023AEE" w:rsidSect="00DE1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F7" w:rsidRDefault="009466F7">
      <w:r>
        <w:separator/>
      </w:r>
    </w:p>
  </w:endnote>
  <w:endnote w:type="continuationSeparator" w:id="0">
    <w:p w:rsidR="009466F7" w:rsidRDefault="0094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we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4C" w:rsidRDefault="000314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DF" w:rsidRDefault="00E100DF" w:rsidP="00023AEE">
    <w:pPr>
      <w:pStyle w:val="Zpat"/>
      <w:pBdr>
        <w:bottom w:val="single" w:sz="6" w:space="1" w:color="auto"/>
      </w:pBdr>
      <w:jc w:val="center"/>
      <w:rPr>
        <w:rFonts w:ascii="Helwetika" w:hAnsi="Helwetika" w:cs="Helwetika"/>
        <w:b/>
        <w:bCs/>
        <w:sz w:val="18"/>
        <w:szCs w:val="18"/>
      </w:rPr>
    </w:pPr>
  </w:p>
  <w:p w:rsidR="0003144C" w:rsidRDefault="0003144C" w:rsidP="0003144C">
    <w:pPr>
      <w:pStyle w:val="Zpat"/>
      <w:rPr>
        <w:sz w:val="20"/>
        <w:szCs w:val="20"/>
      </w:rPr>
    </w:pPr>
    <w:r>
      <w:rPr>
        <w:b/>
        <w:sz w:val="20"/>
        <w:szCs w:val="20"/>
      </w:rPr>
      <w:t xml:space="preserve">         </w:t>
    </w:r>
    <w:r w:rsidRPr="003F153B">
      <w:rPr>
        <w:b/>
        <w:sz w:val="20"/>
        <w:szCs w:val="20"/>
      </w:rPr>
      <w:t>adresa</w:t>
    </w:r>
    <w:r w:rsidRPr="00C922AF">
      <w:rPr>
        <w:sz w:val="20"/>
        <w:szCs w:val="20"/>
      </w:rPr>
      <w:t xml:space="preserve">: </w:t>
    </w:r>
    <w:r>
      <w:rPr>
        <w:sz w:val="20"/>
        <w:szCs w:val="20"/>
      </w:rPr>
      <w:t xml:space="preserve">Budova </w:t>
    </w:r>
    <w:proofErr w:type="spellStart"/>
    <w:r>
      <w:rPr>
        <w:sz w:val="20"/>
        <w:szCs w:val="20"/>
      </w:rPr>
      <w:t>ABcentrum</w:t>
    </w:r>
    <w:proofErr w:type="spellEnd"/>
    <w:r>
      <w:rPr>
        <w:sz w:val="20"/>
        <w:szCs w:val="20"/>
      </w:rPr>
      <w:t xml:space="preserve">, Kosmonautů 989/8, 772 00 </w:t>
    </w:r>
    <w:proofErr w:type="gramStart"/>
    <w:r>
      <w:rPr>
        <w:sz w:val="20"/>
        <w:szCs w:val="20"/>
      </w:rPr>
      <w:t>Olomouc,  kancelář</w:t>
    </w:r>
    <w:proofErr w:type="gram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Zlín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Vavrečkova</w:t>
    </w:r>
    <w:proofErr w:type="spellEnd"/>
    <w:r>
      <w:rPr>
        <w:sz w:val="20"/>
        <w:szCs w:val="20"/>
      </w:rPr>
      <w:t xml:space="preserve"> 5262 </w:t>
    </w:r>
  </w:p>
  <w:p w:rsidR="0003144C" w:rsidRPr="00C922AF" w:rsidRDefault="0003144C" w:rsidP="0003144C">
    <w:pPr>
      <w:pStyle w:val="Zpat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3F153B">
      <w:rPr>
        <w:b/>
        <w:sz w:val="20"/>
        <w:szCs w:val="20"/>
      </w:rPr>
      <w:t>IČO</w:t>
    </w:r>
    <w:r>
      <w:rPr>
        <w:sz w:val="20"/>
        <w:szCs w:val="20"/>
      </w:rPr>
      <w:t xml:space="preserve">: 22866442 </w:t>
    </w:r>
    <w:r w:rsidRPr="003F153B">
      <w:rPr>
        <w:b/>
        <w:sz w:val="20"/>
        <w:szCs w:val="20"/>
      </w:rPr>
      <w:t>e-mail</w:t>
    </w:r>
    <w:r>
      <w:rPr>
        <w:sz w:val="20"/>
        <w:szCs w:val="20"/>
      </w:rPr>
      <w:t>:info@infrastrukturamorava.cz , www.infrastrukturamorava.cz</w:t>
    </w:r>
  </w:p>
  <w:p w:rsidR="00E100DF" w:rsidRDefault="00E100DF" w:rsidP="00023AEE">
    <w:pPr>
      <w:pStyle w:val="Zpat"/>
      <w:jc w:val="center"/>
      <w:rPr>
        <w:rFonts w:ascii="Helwetika" w:hAnsi="Helwetika" w:cs="Helwetika"/>
        <w:b/>
        <w:bCs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4C" w:rsidRDefault="000314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F7" w:rsidRDefault="009466F7">
      <w:r>
        <w:separator/>
      </w:r>
    </w:p>
  </w:footnote>
  <w:footnote w:type="continuationSeparator" w:id="0">
    <w:p w:rsidR="009466F7" w:rsidRDefault="0094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4C" w:rsidRDefault="0003144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4C" w:rsidRDefault="0003144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4C" w:rsidRDefault="0003144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2951"/>
    <w:rsid w:val="00007F13"/>
    <w:rsid w:val="00023AEE"/>
    <w:rsid w:val="0003144C"/>
    <w:rsid w:val="00037256"/>
    <w:rsid w:val="00095BBA"/>
    <w:rsid w:val="000A6D44"/>
    <w:rsid w:val="001173ED"/>
    <w:rsid w:val="00161294"/>
    <w:rsid w:val="001655B6"/>
    <w:rsid w:val="001A226B"/>
    <w:rsid w:val="001B23D4"/>
    <w:rsid w:val="001F3D23"/>
    <w:rsid w:val="002431AE"/>
    <w:rsid w:val="00285D5D"/>
    <w:rsid w:val="0029699E"/>
    <w:rsid w:val="002B48C4"/>
    <w:rsid w:val="002C0F4B"/>
    <w:rsid w:val="002E3133"/>
    <w:rsid w:val="00314813"/>
    <w:rsid w:val="00321B1E"/>
    <w:rsid w:val="003744D9"/>
    <w:rsid w:val="003D6CDC"/>
    <w:rsid w:val="0040284B"/>
    <w:rsid w:val="00405BA0"/>
    <w:rsid w:val="0044258E"/>
    <w:rsid w:val="0044382E"/>
    <w:rsid w:val="004645AC"/>
    <w:rsid w:val="004841B8"/>
    <w:rsid w:val="004B0A13"/>
    <w:rsid w:val="004C436F"/>
    <w:rsid w:val="005065A4"/>
    <w:rsid w:val="00597797"/>
    <w:rsid w:val="005A068D"/>
    <w:rsid w:val="005F2F93"/>
    <w:rsid w:val="00653277"/>
    <w:rsid w:val="0067184A"/>
    <w:rsid w:val="006950CF"/>
    <w:rsid w:val="00696925"/>
    <w:rsid w:val="006A3DCC"/>
    <w:rsid w:val="006D40EE"/>
    <w:rsid w:val="0076797A"/>
    <w:rsid w:val="007A2A22"/>
    <w:rsid w:val="0081710B"/>
    <w:rsid w:val="00830538"/>
    <w:rsid w:val="0088632D"/>
    <w:rsid w:val="008D0E3C"/>
    <w:rsid w:val="008D5339"/>
    <w:rsid w:val="008F07D5"/>
    <w:rsid w:val="008F6A32"/>
    <w:rsid w:val="009466F7"/>
    <w:rsid w:val="0098126D"/>
    <w:rsid w:val="009B0FDC"/>
    <w:rsid w:val="009D6B48"/>
    <w:rsid w:val="009F2649"/>
    <w:rsid w:val="00A04168"/>
    <w:rsid w:val="00A70767"/>
    <w:rsid w:val="00AF2951"/>
    <w:rsid w:val="00AF56F4"/>
    <w:rsid w:val="00B059B9"/>
    <w:rsid w:val="00B22D6B"/>
    <w:rsid w:val="00BB0073"/>
    <w:rsid w:val="00BB4D3C"/>
    <w:rsid w:val="00BD668E"/>
    <w:rsid w:val="00BF4419"/>
    <w:rsid w:val="00BF62DB"/>
    <w:rsid w:val="00C90C22"/>
    <w:rsid w:val="00D01EAD"/>
    <w:rsid w:val="00D1631C"/>
    <w:rsid w:val="00DE17F6"/>
    <w:rsid w:val="00DE36B1"/>
    <w:rsid w:val="00E01FEA"/>
    <w:rsid w:val="00E0281D"/>
    <w:rsid w:val="00E05CE1"/>
    <w:rsid w:val="00E100DF"/>
    <w:rsid w:val="00E207AA"/>
    <w:rsid w:val="00E40AB4"/>
    <w:rsid w:val="00E97679"/>
    <w:rsid w:val="00EA336B"/>
    <w:rsid w:val="00EB2CFC"/>
    <w:rsid w:val="00EB48D4"/>
    <w:rsid w:val="00EC6F4D"/>
    <w:rsid w:val="00F5173F"/>
    <w:rsid w:val="00FF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C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40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632D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DE17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86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632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8D0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74060"/>
    <w:rPr>
      <w:sz w:val="0"/>
      <w:szCs w:val="0"/>
    </w:rPr>
  </w:style>
  <w:style w:type="character" w:customStyle="1" w:styleId="apple-converted-space">
    <w:name w:val="apple-converted-space"/>
    <w:basedOn w:val="Standardnpsmoodstavce"/>
    <w:rsid w:val="00EA336B"/>
  </w:style>
  <w:style w:type="character" w:styleId="Siln">
    <w:name w:val="Strong"/>
    <w:basedOn w:val="Standardnpsmoodstavce"/>
    <w:uiPriority w:val="22"/>
    <w:qFormat/>
    <w:locked/>
    <w:rsid w:val="00EA336B"/>
    <w:rPr>
      <w:b/>
      <w:bCs/>
    </w:rPr>
  </w:style>
  <w:style w:type="character" w:customStyle="1" w:styleId="Hyperlink0">
    <w:name w:val="Hyperlink.0"/>
    <w:basedOn w:val="Hypertextovodkaz"/>
    <w:rsid w:val="002B48C4"/>
    <w:rPr>
      <w:u w:color="0000FF"/>
    </w:rPr>
  </w:style>
  <w:style w:type="character" w:customStyle="1" w:styleId="dn">
    <w:name w:val="Žádný"/>
    <w:rsid w:val="002B4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C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40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632D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DE17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86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63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8D0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7406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ADV agentura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Červinka</dc:creator>
  <cp:lastModifiedBy>ZadnikL</cp:lastModifiedBy>
  <cp:revision>3</cp:revision>
  <cp:lastPrinted>2012-02-15T10:44:00Z</cp:lastPrinted>
  <dcterms:created xsi:type="dcterms:W3CDTF">2018-04-06T10:06:00Z</dcterms:created>
  <dcterms:modified xsi:type="dcterms:W3CDTF">2018-04-06T10:07:00Z</dcterms:modified>
</cp:coreProperties>
</file>